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8D9" w:rsidRPr="001C1B83" w:rsidRDefault="00D948D9" w:rsidP="00D948D9">
      <w:pPr>
        <w:jc w:val="left"/>
        <w:rPr>
          <w:rFonts w:ascii="仿宋_GB2312" w:eastAsia="仿宋_GB2312" w:hAnsi="黑体"/>
          <w:sz w:val="28"/>
          <w:szCs w:val="28"/>
        </w:rPr>
      </w:pPr>
      <w:r w:rsidRPr="001C1B83">
        <w:rPr>
          <w:rFonts w:ascii="仿宋_GB2312" w:eastAsia="仿宋_GB2312" w:hAnsi="黑体" w:hint="eastAsia"/>
          <w:sz w:val="28"/>
          <w:szCs w:val="28"/>
        </w:rPr>
        <w:t>附1</w:t>
      </w:r>
    </w:p>
    <w:p w:rsidR="00D948D9" w:rsidRPr="00140280" w:rsidRDefault="00D948D9" w:rsidP="00D948D9">
      <w:pPr>
        <w:jc w:val="center"/>
        <w:rPr>
          <w:rFonts w:ascii="黑体" w:eastAsia="黑体" w:hAnsi="黑体"/>
          <w:color w:val="FF0000"/>
          <w:sz w:val="30"/>
          <w:szCs w:val="30"/>
        </w:rPr>
      </w:pPr>
      <w:r w:rsidRPr="00140280">
        <w:rPr>
          <w:rFonts w:ascii="黑体" w:eastAsia="黑体" w:hAnsi="黑体" w:hint="eastAsia"/>
          <w:sz w:val="30"/>
          <w:szCs w:val="30"/>
        </w:rPr>
        <w:t>高职院校内部质量保证体系诊断项目参考表</w:t>
      </w:r>
    </w:p>
    <w:tbl>
      <w:tblPr>
        <w:tblW w:w="14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1418"/>
        <w:gridCol w:w="2397"/>
        <w:gridCol w:w="6035"/>
        <w:gridCol w:w="3268"/>
      </w:tblGrid>
      <w:tr w:rsidR="00D948D9" w:rsidRPr="008A08E3" w:rsidTr="00103575">
        <w:trPr>
          <w:jc w:val="center"/>
        </w:trPr>
        <w:tc>
          <w:tcPr>
            <w:tcW w:w="1096" w:type="dxa"/>
            <w:shd w:val="clear" w:color="auto" w:fill="auto"/>
            <w:vAlign w:val="center"/>
          </w:tcPr>
          <w:p w:rsidR="00D948D9" w:rsidRPr="008A08E3" w:rsidRDefault="00D948D9" w:rsidP="00103575">
            <w:pPr>
              <w:jc w:val="center"/>
              <w:rPr>
                <w:rFonts w:ascii="仿宋_GB2312" w:eastAsia="仿宋_GB2312" w:hAnsi="黑体"/>
                <w:b/>
                <w:szCs w:val="21"/>
              </w:rPr>
            </w:pPr>
            <w:r w:rsidRPr="008A08E3">
              <w:rPr>
                <w:rFonts w:ascii="仿宋_GB2312" w:eastAsia="仿宋_GB2312" w:hAnsi="黑体" w:hint="eastAsia"/>
                <w:b/>
                <w:szCs w:val="21"/>
              </w:rPr>
              <w:t>诊断</w:t>
            </w:r>
          </w:p>
          <w:p w:rsidR="00D948D9" w:rsidRPr="008A08E3" w:rsidRDefault="00D948D9" w:rsidP="00103575">
            <w:pPr>
              <w:jc w:val="center"/>
              <w:rPr>
                <w:rFonts w:ascii="仿宋_GB2312" w:eastAsia="仿宋_GB2312" w:hAnsi="黑体"/>
                <w:b/>
                <w:szCs w:val="21"/>
              </w:rPr>
            </w:pPr>
            <w:r w:rsidRPr="008A08E3">
              <w:rPr>
                <w:rFonts w:ascii="仿宋_GB2312" w:eastAsia="仿宋_GB2312" w:hAnsi="黑体" w:hint="eastAsia"/>
                <w:b/>
                <w:szCs w:val="21"/>
              </w:rPr>
              <w:t>项目</w:t>
            </w:r>
          </w:p>
        </w:tc>
        <w:tc>
          <w:tcPr>
            <w:tcW w:w="1418" w:type="dxa"/>
            <w:shd w:val="clear" w:color="auto" w:fill="auto"/>
            <w:vAlign w:val="center"/>
          </w:tcPr>
          <w:p w:rsidR="00D948D9" w:rsidRPr="008A08E3" w:rsidRDefault="00D948D9" w:rsidP="00103575">
            <w:pPr>
              <w:jc w:val="center"/>
              <w:rPr>
                <w:rFonts w:ascii="仿宋_GB2312" w:eastAsia="仿宋_GB2312" w:hAnsi="黑体"/>
                <w:b/>
                <w:szCs w:val="21"/>
              </w:rPr>
            </w:pPr>
            <w:r w:rsidRPr="008A08E3">
              <w:rPr>
                <w:rFonts w:ascii="仿宋_GB2312" w:eastAsia="仿宋_GB2312" w:hAnsi="黑体" w:hint="eastAsia"/>
                <w:b/>
                <w:szCs w:val="21"/>
              </w:rPr>
              <w:t>诊断要素</w:t>
            </w:r>
          </w:p>
        </w:tc>
        <w:tc>
          <w:tcPr>
            <w:tcW w:w="2397" w:type="dxa"/>
            <w:vAlign w:val="center"/>
          </w:tcPr>
          <w:p w:rsidR="00D948D9" w:rsidRPr="008A08E3" w:rsidRDefault="00D948D9" w:rsidP="00103575">
            <w:pPr>
              <w:jc w:val="center"/>
              <w:rPr>
                <w:rFonts w:ascii="仿宋_GB2312" w:eastAsia="仿宋_GB2312" w:hAnsi="黑体"/>
                <w:b/>
                <w:szCs w:val="21"/>
              </w:rPr>
            </w:pPr>
            <w:r w:rsidRPr="008A08E3">
              <w:rPr>
                <w:rFonts w:ascii="仿宋_GB2312" w:eastAsia="仿宋_GB2312" w:hAnsi="黑体" w:hint="eastAsia"/>
                <w:b/>
                <w:szCs w:val="21"/>
              </w:rPr>
              <w:t>诊断点</w:t>
            </w:r>
          </w:p>
        </w:tc>
        <w:tc>
          <w:tcPr>
            <w:tcW w:w="6035" w:type="dxa"/>
            <w:shd w:val="clear" w:color="auto" w:fill="auto"/>
            <w:vAlign w:val="center"/>
          </w:tcPr>
          <w:p w:rsidR="00D948D9" w:rsidRPr="008A08E3" w:rsidRDefault="00D948D9" w:rsidP="00103575">
            <w:pPr>
              <w:jc w:val="center"/>
              <w:rPr>
                <w:rFonts w:ascii="仿宋_GB2312" w:eastAsia="仿宋_GB2312" w:hAnsi="黑体"/>
                <w:b/>
                <w:color w:val="000000"/>
                <w:szCs w:val="21"/>
              </w:rPr>
            </w:pPr>
            <w:r w:rsidRPr="008A08E3">
              <w:rPr>
                <w:rFonts w:ascii="仿宋_GB2312" w:eastAsia="仿宋_GB2312" w:hAnsi="黑体" w:hint="eastAsia"/>
                <w:b/>
                <w:color w:val="000000"/>
                <w:szCs w:val="21"/>
              </w:rPr>
              <w:t>影响因素参考提示</w:t>
            </w:r>
            <w:bookmarkStart w:id="0" w:name="_GoBack"/>
            <w:bookmarkEnd w:id="0"/>
          </w:p>
        </w:tc>
        <w:tc>
          <w:tcPr>
            <w:tcW w:w="3268" w:type="dxa"/>
            <w:shd w:val="clear" w:color="auto" w:fill="auto"/>
            <w:vAlign w:val="center"/>
          </w:tcPr>
          <w:p w:rsidR="00D948D9" w:rsidRPr="008A08E3" w:rsidRDefault="00D948D9" w:rsidP="00103575">
            <w:pPr>
              <w:jc w:val="center"/>
              <w:rPr>
                <w:rFonts w:ascii="仿宋_GB2312" w:eastAsia="仿宋_GB2312" w:hAnsi="黑体"/>
                <w:b/>
                <w:color w:val="000000"/>
                <w:szCs w:val="21"/>
              </w:rPr>
            </w:pPr>
            <w:r w:rsidRPr="008A08E3">
              <w:rPr>
                <w:rFonts w:ascii="仿宋_GB2312" w:eastAsia="仿宋_GB2312" w:hAnsi="黑体" w:hint="eastAsia"/>
                <w:b/>
                <w:color w:val="000000"/>
                <w:szCs w:val="21"/>
              </w:rPr>
              <w:t>数据管理平台</w:t>
            </w:r>
          </w:p>
          <w:p w:rsidR="00D948D9" w:rsidRPr="008A08E3" w:rsidRDefault="00D948D9" w:rsidP="00103575">
            <w:pPr>
              <w:jc w:val="center"/>
              <w:rPr>
                <w:rFonts w:ascii="仿宋_GB2312" w:eastAsia="仿宋_GB2312" w:hAnsi="黑体"/>
                <w:b/>
                <w:szCs w:val="21"/>
              </w:rPr>
            </w:pPr>
            <w:r w:rsidRPr="008A08E3">
              <w:rPr>
                <w:rFonts w:ascii="仿宋_GB2312" w:eastAsia="仿宋_GB2312" w:hAnsi="黑体" w:hint="eastAsia"/>
                <w:b/>
                <w:color w:val="000000"/>
                <w:szCs w:val="21"/>
              </w:rPr>
              <w:t>相应编号</w:t>
            </w:r>
          </w:p>
        </w:tc>
      </w:tr>
      <w:tr w:rsidR="00D948D9" w:rsidRPr="008A08E3" w:rsidTr="00103575">
        <w:trPr>
          <w:trHeight w:val="1125"/>
          <w:jc w:val="center"/>
        </w:trPr>
        <w:tc>
          <w:tcPr>
            <w:tcW w:w="1096" w:type="dxa"/>
            <w:vMerge w:val="restart"/>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1 体系总体构架</w:t>
            </w:r>
          </w:p>
        </w:tc>
        <w:tc>
          <w:tcPr>
            <w:tcW w:w="1418" w:type="dxa"/>
            <w:vMerge w:val="restart"/>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1.1质量保证理念</w:t>
            </w: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质量目标与定位</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学校发展目标定位是否科学明确；人才培养目标、规格是否符合区域经济和社会发展要求，是否符合学生全面发展要求；质量保证目标与学校发展目标、人才培养目标一致性、达成度。</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1.3/7</w:t>
            </w:r>
          </w:p>
        </w:tc>
      </w:tr>
      <w:tr w:rsidR="00D948D9" w:rsidRPr="008A08E3" w:rsidTr="00103575">
        <w:trPr>
          <w:trHeight w:val="741"/>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shd w:val="clear" w:color="auto" w:fill="auto"/>
            <w:vAlign w:val="center"/>
          </w:tcPr>
          <w:p w:rsidR="00D948D9" w:rsidRPr="008A08E3" w:rsidRDefault="00D948D9" w:rsidP="00103575">
            <w:pPr>
              <w:rPr>
                <w:rFonts w:ascii="仿宋_GB2312" w:eastAsia="仿宋_GB2312"/>
                <w:color w:val="000000"/>
                <w:szCs w:val="21"/>
              </w:rPr>
            </w:pP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质量保证规划</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质量保证体系建设规划是否科学明晰、符合实际且具有可操作性；实际执行效果是否明显。</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1.3/7</w:t>
            </w:r>
          </w:p>
        </w:tc>
      </w:tr>
      <w:tr w:rsidR="00D948D9" w:rsidRPr="008A08E3" w:rsidTr="00103575">
        <w:trPr>
          <w:trHeight w:val="807"/>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shd w:val="clear" w:color="auto" w:fill="auto"/>
            <w:vAlign w:val="center"/>
          </w:tcPr>
          <w:p w:rsidR="00D948D9" w:rsidRPr="008A08E3" w:rsidRDefault="00D948D9" w:rsidP="00103575">
            <w:pPr>
              <w:rPr>
                <w:rFonts w:ascii="仿宋_GB2312" w:eastAsia="仿宋_GB2312"/>
                <w:color w:val="000000"/>
                <w:szCs w:val="21"/>
              </w:rPr>
            </w:pP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质量文化建设</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师生质量意识，对学校质量理念的认同度；质量保证全员参与程度；质量文化氛围；持续改进质量的制度设计是否科学有效，是否实现持续改进。</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2.2/8</w:t>
            </w:r>
          </w:p>
        </w:tc>
      </w:tr>
      <w:tr w:rsidR="00D948D9" w:rsidRPr="008A08E3" w:rsidTr="00103575">
        <w:trPr>
          <w:trHeight w:val="745"/>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val="restart"/>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1.2组织构架</w:t>
            </w: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质量保证机构与分工</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学校、院系各层面质量保证机构、岗位设置是否科学合理，分工与职责权限是否明确。</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8</w:t>
            </w:r>
          </w:p>
        </w:tc>
      </w:tr>
      <w:tr w:rsidR="00D948D9" w:rsidRPr="008A08E3" w:rsidTr="00103575">
        <w:trPr>
          <w:trHeight w:val="1094"/>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shd w:val="clear" w:color="auto" w:fill="auto"/>
            <w:vAlign w:val="center"/>
          </w:tcPr>
          <w:p w:rsidR="00D948D9" w:rsidRPr="008A08E3" w:rsidRDefault="00D948D9" w:rsidP="00103575">
            <w:pPr>
              <w:rPr>
                <w:rFonts w:ascii="仿宋_GB2312" w:eastAsia="仿宋_GB2312"/>
                <w:color w:val="000000"/>
                <w:szCs w:val="21"/>
              </w:rPr>
            </w:pP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质量保证队伍</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质量保证队伍建设是否符合质量保证体系建设规划要求；人员配备是否符合岗位职责要求；对质量保证机构、人员是否有考核标准与考核制度；考核机制是否严格规范；能否实现持续改进。</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8.2/8.6</w:t>
            </w:r>
          </w:p>
        </w:tc>
      </w:tr>
      <w:tr w:rsidR="00D948D9" w:rsidRPr="008A08E3" w:rsidTr="00103575">
        <w:trPr>
          <w:trHeight w:val="867"/>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val="restart"/>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1.3制度构架</w:t>
            </w: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质量保证制度</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学校、院系、专业、课程、教师、学生层面的质量保证制度是否具有系统性、完整性与可操作性。</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8.1</w:t>
            </w:r>
          </w:p>
        </w:tc>
      </w:tr>
      <w:tr w:rsidR="00D948D9" w:rsidRPr="008A08E3" w:rsidTr="00103575">
        <w:trPr>
          <w:trHeight w:val="1371"/>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shd w:val="clear" w:color="auto" w:fill="auto"/>
            <w:vAlign w:val="center"/>
          </w:tcPr>
          <w:p w:rsidR="00D948D9" w:rsidRPr="008A08E3" w:rsidRDefault="00D948D9" w:rsidP="00103575">
            <w:pPr>
              <w:rPr>
                <w:rFonts w:ascii="仿宋_GB2312" w:eastAsia="仿宋_GB2312"/>
                <w:color w:val="000000"/>
                <w:szCs w:val="21"/>
              </w:rPr>
            </w:pP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执行与改进</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质量保证制度落实情况与改进措施是否具体务实；质量保证制度是否不断改进和完善；是否定期发布质量年度报告，质量年度报告结构是否规范、数据是否准确；院（系）、专业自我诊改是否已成常态。</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8.7</w:t>
            </w:r>
          </w:p>
        </w:tc>
      </w:tr>
      <w:tr w:rsidR="00D948D9" w:rsidRPr="008A08E3" w:rsidTr="00103575">
        <w:trPr>
          <w:trHeight w:val="1449"/>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val="restart"/>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1.4信息系统</w:t>
            </w: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信息采集与管理</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是否重视高职院校人才培养工作状态数据采集与管理平台建设；人财物是否有保障，管理是否到位，运行是否良好；是否建立信息采集与平台管理工作制度，数据采集是否实时、准确、完整。</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3.4/8.1</w:t>
            </w:r>
          </w:p>
        </w:tc>
      </w:tr>
      <w:tr w:rsidR="00D948D9" w:rsidRPr="008A08E3" w:rsidTr="00103575">
        <w:trPr>
          <w:trHeight w:val="685"/>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shd w:val="clear" w:color="auto" w:fill="auto"/>
            <w:vAlign w:val="center"/>
          </w:tcPr>
          <w:p w:rsidR="00D948D9" w:rsidRPr="008A08E3" w:rsidRDefault="00D948D9" w:rsidP="00103575">
            <w:pPr>
              <w:rPr>
                <w:rFonts w:ascii="仿宋_GB2312" w:eastAsia="仿宋_GB2312"/>
                <w:color w:val="000000"/>
                <w:szCs w:val="21"/>
              </w:rPr>
            </w:pP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信息应用</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是否运用平台进行日常管理和教学质量过程监控，各级用户是否定期开展数据分析，形成常态化的信息反馈诊断分析与改进机制。</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3.4</w:t>
            </w:r>
          </w:p>
        </w:tc>
      </w:tr>
      <w:tr w:rsidR="00D948D9" w:rsidRPr="008A08E3" w:rsidTr="00103575">
        <w:trPr>
          <w:trHeight w:val="710"/>
          <w:jc w:val="center"/>
        </w:trPr>
        <w:tc>
          <w:tcPr>
            <w:tcW w:w="1096" w:type="dxa"/>
            <w:vMerge w:val="restart"/>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2 专业质量保证</w:t>
            </w:r>
          </w:p>
        </w:tc>
        <w:tc>
          <w:tcPr>
            <w:tcW w:w="1418" w:type="dxa"/>
            <w:vMerge w:val="restart"/>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2.1专业建设规划</w:t>
            </w: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规划制定与实施</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专业建设规划是否符合学校发展实际，是否可行；规划实施情况如何，专业</w:t>
            </w:r>
            <w:r>
              <w:rPr>
                <w:rFonts w:ascii="仿宋_GB2312" w:eastAsia="仿宋_GB2312" w:hint="eastAsia"/>
                <w:color w:val="000000"/>
                <w:szCs w:val="21"/>
              </w:rPr>
              <w:t>结</w:t>
            </w:r>
            <w:r w:rsidRPr="008A08E3">
              <w:rPr>
                <w:rFonts w:ascii="仿宋_GB2312" w:eastAsia="仿宋_GB2312" w:hint="eastAsia"/>
                <w:color w:val="000000"/>
                <w:szCs w:val="21"/>
              </w:rPr>
              <w:t>构是否不断优化。</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1.3/7.1-7.6/9.2</w:t>
            </w:r>
          </w:p>
        </w:tc>
      </w:tr>
      <w:tr w:rsidR="00D948D9" w:rsidRPr="008A08E3" w:rsidTr="00103575">
        <w:trPr>
          <w:trHeight w:val="766"/>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shd w:val="clear" w:color="auto" w:fill="auto"/>
            <w:vAlign w:val="center"/>
          </w:tcPr>
          <w:p w:rsidR="00D948D9" w:rsidRPr="008A08E3" w:rsidRDefault="00D948D9" w:rsidP="00103575">
            <w:pPr>
              <w:rPr>
                <w:rFonts w:ascii="仿宋_GB2312" w:eastAsia="仿宋_GB2312"/>
                <w:color w:val="000000"/>
                <w:szCs w:val="21"/>
              </w:rPr>
            </w:pP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目标与标准</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有无明确的专业建设目标和标准；专业人才培养方案是否规范、科学、先进并不断优化。</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7.1/7.3/7.4</w:t>
            </w:r>
          </w:p>
        </w:tc>
      </w:tr>
      <w:tr w:rsidR="00D948D9" w:rsidRPr="008A08E3" w:rsidTr="00103575">
        <w:trPr>
          <w:trHeight w:val="727"/>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shd w:val="clear" w:color="auto" w:fill="auto"/>
            <w:vAlign w:val="center"/>
          </w:tcPr>
          <w:p w:rsidR="00D948D9" w:rsidRPr="008A08E3" w:rsidRDefault="00D948D9" w:rsidP="00103575">
            <w:pPr>
              <w:rPr>
                <w:rFonts w:ascii="仿宋_GB2312" w:eastAsia="仿宋_GB2312"/>
                <w:color w:val="000000"/>
                <w:szCs w:val="21"/>
              </w:rPr>
            </w:pP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条件保障</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新增专业设置程序是否规范；专业建设条件（经费、师资、实验实训条件）是否有明确的保障措施。</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3.4/4/5.1/5.2</w:t>
            </w:r>
          </w:p>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6/7.4/7.5</w:t>
            </w:r>
          </w:p>
        </w:tc>
      </w:tr>
      <w:tr w:rsidR="00D948D9" w:rsidRPr="008A08E3" w:rsidTr="00103575">
        <w:trPr>
          <w:trHeight w:val="1098"/>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val="restart"/>
            <w:shd w:val="clear" w:color="auto" w:fill="auto"/>
            <w:vAlign w:val="center"/>
          </w:tcPr>
          <w:p w:rsidR="00D948D9" w:rsidRPr="008A08E3" w:rsidRDefault="00D948D9" w:rsidP="00103575">
            <w:pPr>
              <w:rPr>
                <w:rFonts w:ascii="仿宋_GB2312" w:eastAsia="仿宋_GB2312"/>
                <w:color w:val="000000"/>
                <w:szCs w:val="21"/>
                <w:highlight w:val="yellow"/>
              </w:rPr>
            </w:pPr>
            <w:r w:rsidRPr="008A08E3">
              <w:rPr>
                <w:rFonts w:ascii="仿宋_GB2312" w:eastAsia="仿宋_GB2312" w:hint="eastAsia"/>
                <w:color w:val="000000"/>
                <w:szCs w:val="21"/>
              </w:rPr>
              <w:t>2.2专业诊改</w:t>
            </w: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诊改制度与运行</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学校内部是否建立常态化的专业诊改机制；是否能够促成校内专业设置随产业发展动态调整。</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3.4/8.1/8.7/9.1/9.2</w:t>
            </w:r>
          </w:p>
        </w:tc>
      </w:tr>
      <w:tr w:rsidR="00D948D9" w:rsidRPr="008A08E3" w:rsidTr="00103575">
        <w:trPr>
          <w:trHeight w:val="1140"/>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shd w:val="clear" w:color="auto" w:fill="auto"/>
            <w:vAlign w:val="center"/>
          </w:tcPr>
          <w:p w:rsidR="00D948D9" w:rsidRPr="008A08E3" w:rsidRDefault="00D948D9" w:rsidP="00103575">
            <w:pPr>
              <w:rPr>
                <w:rFonts w:ascii="仿宋_GB2312" w:eastAsia="仿宋_GB2312"/>
                <w:color w:val="000000"/>
                <w:szCs w:val="21"/>
              </w:rPr>
            </w:pP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诊改效果</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诊改成效如何，人才培养质量是否不断提高；校企融合程度、专业服务社会能力是否不断提升；品牌（特色/重点）专业（群）建设成效、辐射影响力是否不断增强。</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smartTag w:uri="urn:schemas-microsoft-com:office:smarttags" w:element="chsdate">
              <w:smartTagPr>
                <w:attr w:name="IsROCDate" w:val="False"/>
                <w:attr w:name="IsLunarDate" w:val="False"/>
                <w:attr w:name="Day" w:val="6"/>
                <w:attr w:name="Month" w:val="5"/>
                <w:attr w:name="Year" w:val="2004"/>
              </w:smartTagPr>
              <w:r w:rsidRPr="008A08E3">
                <w:rPr>
                  <w:rFonts w:ascii="仿宋_GB2312" w:eastAsia="仿宋_GB2312" w:hint="eastAsia"/>
                  <w:color w:val="000000"/>
                  <w:szCs w:val="21"/>
                </w:rPr>
                <w:t>4/5/6</w:t>
              </w:r>
            </w:smartTag>
            <w:r w:rsidRPr="008A08E3">
              <w:rPr>
                <w:rFonts w:ascii="仿宋_GB2312" w:eastAsia="仿宋_GB2312" w:hint="eastAsia"/>
                <w:color w:val="000000"/>
                <w:szCs w:val="21"/>
              </w:rPr>
              <w:t>/7/9</w:t>
            </w:r>
          </w:p>
        </w:tc>
      </w:tr>
      <w:tr w:rsidR="00D948D9" w:rsidRPr="008A08E3" w:rsidTr="00103575">
        <w:trPr>
          <w:trHeight w:val="770"/>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shd w:val="clear" w:color="auto" w:fill="auto"/>
            <w:vAlign w:val="center"/>
          </w:tcPr>
          <w:p w:rsidR="00D948D9" w:rsidRPr="008A08E3" w:rsidRDefault="00D948D9" w:rsidP="00103575">
            <w:pPr>
              <w:rPr>
                <w:rFonts w:ascii="仿宋_GB2312" w:eastAsia="仿宋_GB2312"/>
                <w:color w:val="000000"/>
                <w:szCs w:val="21"/>
              </w:rPr>
            </w:pP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外部诊断（评估）结论应用</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是否积极参加外部专业诊断（或评估、认证）；外部诊断（评估）结论是否得到有效应用，对学校自诊自改是否起到良好促进作用。</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smartTag w:uri="urn:schemas-microsoft-com:office:smarttags" w:element="chsdate">
              <w:smartTagPr>
                <w:attr w:name="IsROCDate" w:val="False"/>
                <w:attr w:name="IsLunarDate" w:val="False"/>
                <w:attr w:name="Day" w:val="6"/>
                <w:attr w:name="Month" w:val="5"/>
                <w:attr w:name="Year" w:val="2004"/>
              </w:smartTagPr>
              <w:r w:rsidRPr="008A08E3">
                <w:rPr>
                  <w:rFonts w:ascii="仿宋_GB2312" w:eastAsia="仿宋_GB2312" w:hint="eastAsia"/>
                  <w:color w:val="000000"/>
                  <w:szCs w:val="21"/>
                </w:rPr>
                <w:t>4/5/6</w:t>
              </w:r>
            </w:smartTag>
            <w:r w:rsidRPr="008A08E3">
              <w:rPr>
                <w:rFonts w:ascii="仿宋_GB2312" w:eastAsia="仿宋_GB2312" w:hint="eastAsia"/>
                <w:color w:val="000000"/>
                <w:szCs w:val="21"/>
              </w:rPr>
              <w:t>/7/9</w:t>
            </w:r>
          </w:p>
        </w:tc>
      </w:tr>
      <w:tr w:rsidR="00D948D9" w:rsidRPr="008A08E3" w:rsidTr="00103575">
        <w:trPr>
          <w:trHeight w:val="566"/>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val="restart"/>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2.3课程质量保证</w:t>
            </w: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课程建设规划</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课程建设规划是否科学合理；是否具有可行性与可操作性。</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7.2/7.5</w:t>
            </w:r>
          </w:p>
        </w:tc>
      </w:tr>
      <w:tr w:rsidR="00D948D9" w:rsidRPr="008A08E3" w:rsidTr="00103575">
        <w:trPr>
          <w:trHeight w:val="856"/>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shd w:val="clear" w:color="auto" w:fill="auto"/>
            <w:vAlign w:val="center"/>
          </w:tcPr>
          <w:p w:rsidR="00D948D9" w:rsidRPr="008A08E3" w:rsidRDefault="00D948D9" w:rsidP="00103575">
            <w:pPr>
              <w:rPr>
                <w:rFonts w:ascii="仿宋_GB2312" w:eastAsia="仿宋_GB2312"/>
                <w:color w:val="000000"/>
                <w:szCs w:val="21"/>
              </w:rPr>
            </w:pP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目标与标准</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课程建设规划目标达成度；课程标准是否具备科学性、先进性、规范性与完备性。</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7.2/7.3</w:t>
            </w:r>
          </w:p>
        </w:tc>
      </w:tr>
      <w:tr w:rsidR="00D948D9" w:rsidRPr="008A08E3" w:rsidTr="00103575">
        <w:trPr>
          <w:trHeight w:val="1220"/>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shd w:val="clear" w:color="auto" w:fill="auto"/>
            <w:vAlign w:val="center"/>
          </w:tcPr>
          <w:p w:rsidR="00D948D9" w:rsidRPr="008A08E3" w:rsidRDefault="00D948D9" w:rsidP="00103575">
            <w:pPr>
              <w:rPr>
                <w:rFonts w:ascii="仿宋_GB2312" w:eastAsia="仿宋_GB2312"/>
                <w:color w:val="000000"/>
                <w:szCs w:val="21"/>
              </w:rPr>
            </w:pP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诊改制度实施与效果</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校内是否开展对课程建设水平和教学质量的诊改，形成常态化的课程质量保证机制；是否对提高课程建设水平和教学质量产生明显的推进作用。</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3.4/7.2/8.1/8.2</w:t>
            </w:r>
          </w:p>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8.5/8.6/8.7</w:t>
            </w:r>
          </w:p>
        </w:tc>
      </w:tr>
      <w:tr w:rsidR="00D948D9" w:rsidRPr="008A08E3" w:rsidTr="00103575">
        <w:trPr>
          <w:trHeight w:val="938"/>
          <w:jc w:val="center"/>
        </w:trPr>
        <w:tc>
          <w:tcPr>
            <w:tcW w:w="1096" w:type="dxa"/>
            <w:vMerge w:val="restart"/>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3 师资质量保证</w:t>
            </w:r>
          </w:p>
        </w:tc>
        <w:tc>
          <w:tcPr>
            <w:tcW w:w="1418" w:type="dxa"/>
            <w:vMerge w:val="restart"/>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3.1师资队伍建设规划</w:t>
            </w: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规划制定</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学校、院系、专业等层面师资队伍建设规划的科学性、一致性和可行性；规划目标达成度。</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6.1/6.2/6.3/6.4</w:t>
            </w:r>
          </w:p>
        </w:tc>
      </w:tr>
      <w:tr w:rsidR="00D948D9" w:rsidRPr="008A08E3" w:rsidTr="00103575">
        <w:trPr>
          <w:trHeight w:val="748"/>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shd w:val="clear" w:color="auto" w:fill="auto"/>
            <w:vAlign w:val="center"/>
          </w:tcPr>
          <w:p w:rsidR="00D948D9" w:rsidRPr="008A08E3" w:rsidRDefault="00D948D9" w:rsidP="00103575">
            <w:pPr>
              <w:rPr>
                <w:rFonts w:ascii="仿宋_GB2312" w:eastAsia="仿宋_GB2312"/>
                <w:color w:val="000000"/>
                <w:szCs w:val="21"/>
              </w:rPr>
            </w:pP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实施保障</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是否能为师资建设规划目标的实现提供必需的外部环境、组织管理、资源支撑、经费等保障。</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5.2/7.1/7.2/8.1/</w:t>
            </w:r>
          </w:p>
        </w:tc>
      </w:tr>
      <w:tr w:rsidR="00D948D9" w:rsidRPr="008A08E3" w:rsidTr="00103575">
        <w:trPr>
          <w:trHeight w:val="813"/>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val="restart"/>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3.2师资建设诊改工作</w:t>
            </w: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诊改制度</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是否制定专兼职教师、专业带头人与骨干教师聘用资格标准；是否开展对师资队伍建设成效的诊改，形成常态化的师资质量保证机制。</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6.1/6.2/6.3/6.4/7.2</w:t>
            </w:r>
          </w:p>
        </w:tc>
      </w:tr>
      <w:tr w:rsidR="00D948D9" w:rsidRPr="008A08E3" w:rsidTr="00103575">
        <w:trPr>
          <w:trHeight w:val="1134"/>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shd w:val="clear" w:color="auto" w:fill="auto"/>
            <w:vAlign w:val="center"/>
          </w:tcPr>
          <w:p w:rsidR="00D948D9" w:rsidRPr="008A08E3" w:rsidRDefault="00D948D9" w:rsidP="00103575">
            <w:pPr>
              <w:rPr>
                <w:rFonts w:ascii="仿宋_GB2312" w:eastAsia="仿宋_GB2312"/>
                <w:color w:val="000000"/>
                <w:szCs w:val="21"/>
              </w:rPr>
            </w:pP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实施效果</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教师质量意识是否得到提升；教学改革主动性是否得到提高；师资队伍数量、结构、水平、稳定性、社会服务能力等是否得到持续改善；学生满意度是否得到持续提升。</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6.1/6.2/6.3/6.4/8.7</w:t>
            </w:r>
          </w:p>
        </w:tc>
      </w:tr>
      <w:tr w:rsidR="00D948D9" w:rsidRPr="008A08E3" w:rsidTr="00103575">
        <w:trPr>
          <w:trHeight w:val="1122"/>
          <w:jc w:val="center"/>
        </w:trPr>
        <w:tc>
          <w:tcPr>
            <w:tcW w:w="1096" w:type="dxa"/>
            <w:vMerge w:val="restart"/>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4 学生全面发展保证</w:t>
            </w:r>
          </w:p>
        </w:tc>
        <w:tc>
          <w:tcPr>
            <w:tcW w:w="1418" w:type="dxa"/>
            <w:vMerge w:val="restart"/>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4.1育人体系</w:t>
            </w: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育人规划</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是否制定学生综合素质标准；学生素质教育方案制定是否科学，培养目标定位是否准确；是否因材施教，注重分类培养与分层教学；是否实施全员全过程全方位育人，加强创意、创新、创业教育。</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5.2/8.3/8.4</w:t>
            </w:r>
          </w:p>
        </w:tc>
      </w:tr>
      <w:tr w:rsidR="00D948D9" w:rsidRPr="008A08E3" w:rsidTr="00103575">
        <w:trPr>
          <w:trHeight w:val="563"/>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shd w:val="clear" w:color="auto" w:fill="auto"/>
            <w:vAlign w:val="center"/>
          </w:tcPr>
          <w:p w:rsidR="00D948D9" w:rsidRPr="008A08E3" w:rsidRDefault="00D948D9" w:rsidP="00103575">
            <w:pPr>
              <w:rPr>
                <w:rFonts w:ascii="仿宋_GB2312" w:eastAsia="仿宋_GB2312"/>
                <w:color w:val="000000"/>
                <w:szCs w:val="21"/>
              </w:rPr>
            </w:pP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诊改制度</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是否实施对育人部门工作及效果的诊改。</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8.1</w:t>
            </w:r>
          </w:p>
        </w:tc>
      </w:tr>
      <w:tr w:rsidR="00D948D9" w:rsidRPr="008A08E3" w:rsidTr="00103575">
        <w:trPr>
          <w:trHeight w:val="923"/>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shd w:val="clear" w:color="auto" w:fill="auto"/>
            <w:vAlign w:val="center"/>
          </w:tcPr>
          <w:p w:rsidR="00D948D9" w:rsidRPr="008A08E3" w:rsidRDefault="00D948D9" w:rsidP="00103575">
            <w:pPr>
              <w:rPr>
                <w:rFonts w:ascii="仿宋_GB2312" w:eastAsia="仿宋_GB2312"/>
                <w:color w:val="000000"/>
                <w:szCs w:val="21"/>
              </w:rPr>
            </w:pP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实施与效果</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育人工作是否已形成常态化诊改机制；育人目标达成度；学生自主学习能力、主动学习积极性、职业能力和创新创业能力是否得到提高。</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2.2/3/7.2/9.2</w:t>
            </w:r>
          </w:p>
        </w:tc>
      </w:tr>
      <w:tr w:rsidR="00D948D9" w:rsidRPr="008A08E3" w:rsidTr="00103575">
        <w:trPr>
          <w:trHeight w:val="1058"/>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val="restart"/>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4.2成长环境</w:t>
            </w: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安全与生活保障</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是否实施对服务部门服务质量的诊改，并形成常态化安全与生活质量保证机制；学校安全设施是否不断完善；学生生活环境是否不断优化；学生诉求回应速度、学生满意度是否持续提高；意外事故率是否不断降低。</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p>
        </w:tc>
      </w:tr>
      <w:tr w:rsidR="00D948D9" w:rsidRPr="008A08E3" w:rsidTr="00103575">
        <w:trPr>
          <w:trHeight w:val="1414"/>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shd w:val="clear" w:color="auto" w:fill="auto"/>
            <w:vAlign w:val="center"/>
          </w:tcPr>
          <w:p w:rsidR="00D948D9" w:rsidRPr="008A08E3" w:rsidRDefault="00D948D9" w:rsidP="00103575">
            <w:pPr>
              <w:rPr>
                <w:rFonts w:ascii="仿宋_GB2312" w:eastAsia="仿宋_GB2312"/>
                <w:color w:val="000000"/>
                <w:szCs w:val="21"/>
              </w:rPr>
            </w:pP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特殊学生群体服务与资助</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建立家庭困难学生、残障学生、少数民族学生等特殊学生生活保障管理运行机制情况；建立学生心理健康教育活动体系与运行管理机制情况；能否为特殊学生群体提供必要的设施、人员、资金、文化等保障。</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5.2/8.8</w:t>
            </w:r>
          </w:p>
        </w:tc>
      </w:tr>
      <w:tr w:rsidR="00D948D9" w:rsidRPr="008A08E3" w:rsidTr="00103575">
        <w:trPr>
          <w:trHeight w:val="840"/>
          <w:jc w:val="center"/>
        </w:trPr>
        <w:tc>
          <w:tcPr>
            <w:tcW w:w="1096" w:type="dxa"/>
            <w:vMerge w:val="restart"/>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5 体系运行效果</w:t>
            </w:r>
          </w:p>
        </w:tc>
        <w:tc>
          <w:tcPr>
            <w:tcW w:w="1418" w:type="dxa"/>
            <w:vMerge w:val="restart"/>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5.1外部环境改进</w:t>
            </w:r>
          </w:p>
        </w:tc>
        <w:tc>
          <w:tcPr>
            <w:tcW w:w="2397" w:type="dxa"/>
            <w:tcBorders>
              <w:bottom w:val="single" w:sz="4" w:space="0" w:color="auto"/>
            </w:tcBorders>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政策环境</w:t>
            </w:r>
          </w:p>
        </w:tc>
        <w:tc>
          <w:tcPr>
            <w:tcW w:w="6035" w:type="dxa"/>
            <w:tcBorders>
              <w:bottom w:val="single" w:sz="4" w:space="0" w:color="auto"/>
            </w:tcBorders>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能否促进社会资源引入、共享渠道的拓展；政策环境是否利于学校的质量保证体系和人才培养质量持续改进与完善。</w:t>
            </w:r>
          </w:p>
        </w:tc>
        <w:tc>
          <w:tcPr>
            <w:tcW w:w="3268" w:type="dxa"/>
            <w:tcBorders>
              <w:bottom w:val="single" w:sz="4" w:space="0" w:color="auto"/>
            </w:tcBorders>
            <w:shd w:val="clear" w:color="auto" w:fill="auto"/>
            <w:vAlign w:val="center"/>
          </w:tcPr>
          <w:p w:rsidR="00D948D9" w:rsidRPr="008A08E3" w:rsidRDefault="00D948D9" w:rsidP="00103575">
            <w:pPr>
              <w:ind w:left="420"/>
              <w:jc w:val="left"/>
              <w:rPr>
                <w:rFonts w:ascii="仿宋_GB2312" w:eastAsia="仿宋_GB2312"/>
                <w:color w:val="000000"/>
                <w:szCs w:val="21"/>
              </w:rPr>
            </w:pPr>
          </w:p>
        </w:tc>
      </w:tr>
      <w:tr w:rsidR="00D948D9" w:rsidRPr="008A08E3" w:rsidTr="00103575">
        <w:trPr>
          <w:trHeight w:val="836"/>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shd w:val="clear" w:color="auto" w:fill="auto"/>
            <w:vAlign w:val="center"/>
          </w:tcPr>
          <w:p w:rsidR="00D948D9" w:rsidRPr="008A08E3" w:rsidRDefault="00D948D9" w:rsidP="00103575">
            <w:pPr>
              <w:rPr>
                <w:rFonts w:ascii="仿宋_GB2312" w:eastAsia="仿宋_GB2312"/>
                <w:color w:val="000000"/>
                <w:szCs w:val="21"/>
              </w:rPr>
            </w:pPr>
          </w:p>
        </w:tc>
        <w:tc>
          <w:tcPr>
            <w:tcW w:w="2397" w:type="dxa"/>
            <w:tcBorders>
              <w:bottom w:val="single" w:sz="4" w:space="0" w:color="auto"/>
            </w:tcBorders>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资源环境</w:t>
            </w:r>
          </w:p>
        </w:tc>
        <w:tc>
          <w:tcPr>
            <w:tcW w:w="6035" w:type="dxa"/>
            <w:tcBorders>
              <w:bottom w:val="single" w:sz="4" w:space="0" w:color="auto"/>
            </w:tcBorders>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是否能够促进校内办学资源的不断优化；学校资源环境能否促进质量保证体系和人才培养质量持续改进与完善，改善学校的办学条件。</w:t>
            </w:r>
          </w:p>
        </w:tc>
        <w:tc>
          <w:tcPr>
            <w:tcW w:w="3268" w:type="dxa"/>
            <w:tcBorders>
              <w:bottom w:val="single" w:sz="4" w:space="0" w:color="auto"/>
            </w:tcBorders>
            <w:shd w:val="clear" w:color="auto" w:fill="auto"/>
            <w:vAlign w:val="center"/>
          </w:tcPr>
          <w:p w:rsidR="00D948D9" w:rsidRPr="008A08E3" w:rsidRDefault="00D948D9" w:rsidP="00103575">
            <w:pPr>
              <w:ind w:left="420"/>
              <w:jc w:val="left"/>
              <w:rPr>
                <w:rFonts w:ascii="仿宋_GB2312" w:eastAsia="仿宋_GB2312"/>
                <w:color w:val="000000"/>
                <w:szCs w:val="21"/>
              </w:rPr>
            </w:pPr>
          </w:p>
        </w:tc>
      </w:tr>
      <w:tr w:rsidR="00D948D9" w:rsidRPr="008A08E3" w:rsidTr="00103575">
        <w:trPr>
          <w:trHeight w:val="835"/>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tcBorders>
              <w:bottom w:val="single" w:sz="4" w:space="0" w:color="auto"/>
            </w:tcBorders>
            <w:shd w:val="clear" w:color="auto" w:fill="auto"/>
            <w:vAlign w:val="center"/>
          </w:tcPr>
          <w:p w:rsidR="00D948D9" w:rsidRPr="008A08E3" w:rsidRDefault="00D948D9" w:rsidP="00103575">
            <w:pPr>
              <w:rPr>
                <w:rFonts w:ascii="仿宋_GB2312" w:eastAsia="仿宋_GB2312"/>
                <w:color w:val="000000"/>
                <w:szCs w:val="21"/>
              </w:rPr>
            </w:pPr>
          </w:p>
        </w:tc>
        <w:tc>
          <w:tcPr>
            <w:tcW w:w="2397" w:type="dxa"/>
            <w:tcBorders>
              <w:bottom w:val="single" w:sz="4" w:space="0" w:color="auto"/>
            </w:tcBorders>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合作发展环境</w:t>
            </w:r>
          </w:p>
        </w:tc>
        <w:tc>
          <w:tcPr>
            <w:tcW w:w="6035" w:type="dxa"/>
            <w:tcBorders>
              <w:bottom w:val="single" w:sz="4" w:space="0" w:color="auto"/>
            </w:tcBorders>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学校自主诊改机制是否有利于政校合作、校企合作、校校合作的不断优化；合作发展的成效与作用是否不断呈现。</w:t>
            </w:r>
          </w:p>
        </w:tc>
        <w:tc>
          <w:tcPr>
            <w:tcW w:w="3268" w:type="dxa"/>
            <w:tcBorders>
              <w:bottom w:val="single" w:sz="4" w:space="0" w:color="auto"/>
            </w:tcBorders>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7.5/9.3</w:t>
            </w:r>
          </w:p>
        </w:tc>
      </w:tr>
      <w:tr w:rsidR="00D948D9" w:rsidRPr="008A08E3" w:rsidTr="00103575">
        <w:trPr>
          <w:trHeight w:val="1413"/>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val="restart"/>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5.2质量事故管控</w:t>
            </w:r>
          </w:p>
        </w:tc>
        <w:tc>
          <w:tcPr>
            <w:tcW w:w="2397" w:type="dxa"/>
            <w:tcBorders>
              <w:bottom w:val="single" w:sz="4" w:space="0" w:color="auto"/>
            </w:tcBorders>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管控制度</w:t>
            </w:r>
          </w:p>
        </w:tc>
        <w:tc>
          <w:tcPr>
            <w:tcW w:w="6035" w:type="dxa"/>
            <w:tcBorders>
              <w:bottom w:val="single" w:sz="4" w:space="0" w:color="auto"/>
            </w:tcBorders>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是否建立质量事故管控反馈机制，制定质量事故分类、分等的认定管理办法，对质量事故处理及时有效；是否建立学校、院系两级质量事故投诉受理机构，制定质量事故投诉、受理、反馈制度；是否定期开展质量事故自查自纠，形成质量事故管控常态化管理反馈机制。</w:t>
            </w:r>
          </w:p>
        </w:tc>
        <w:tc>
          <w:tcPr>
            <w:tcW w:w="3268" w:type="dxa"/>
            <w:tcBorders>
              <w:bottom w:val="single" w:sz="4" w:space="0" w:color="auto"/>
            </w:tcBorders>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8.1</w:t>
            </w:r>
          </w:p>
        </w:tc>
      </w:tr>
      <w:tr w:rsidR="00D948D9" w:rsidRPr="008A08E3" w:rsidTr="00103575">
        <w:trPr>
          <w:trHeight w:val="838"/>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shd w:val="clear" w:color="auto" w:fill="auto"/>
            <w:vAlign w:val="center"/>
          </w:tcPr>
          <w:p w:rsidR="00D948D9" w:rsidRPr="008A08E3" w:rsidRDefault="00D948D9" w:rsidP="00103575">
            <w:pPr>
              <w:rPr>
                <w:rFonts w:ascii="仿宋_GB2312" w:eastAsia="仿宋_GB2312"/>
                <w:color w:val="000000"/>
                <w:szCs w:val="21"/>
              </w:rPr>
            </w:pPr>
          </w:p>
        </w:tc>
        <w:tc>
          <w:tcPr>
            <w:tcW w:w="2397" w:type="dxa"/>
            <w:tcBorders>
              <w:bottom w:val="single" w:sz="4" w:space="0" w:color="auto"/>
            </w:tcBorders>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发生率及影响</w:t>
            </w:r>
          </w:p>
        </w:tc>
        <w:tc>
          <w:tcPr>
            <w:tcW w:w="6035" w:type="dxa"/>
            <w:tcBorders>
              <w:bottom w:val="single" w:sz="4" w:space="0" w:color="auto"/>
            </w:tcBorders>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学校质量事故的发生率、影响程度；处理安全事故、群体性事件的速度与能力；学校质量事故与投诉发生率是否逐年减少。</w:t>
            </w:r>
          </w:p>
        </w:tc>
        <w:tc>
          <w:tcPr>
            <w:tcW w:w="3268" w:type="dxa"/>
            <w:tcBorders>
              <w:bottom w:val="single" w:sz="4" w:space="0" w:color="auto"/>
            </w:tcBorders>
            <w:shd w:val="clear" w:color="auto" w:fill="auto"/>
            <w:vAlign w:val="center"/>
          </w:tcPr>
          <w:p w:rsidR="00D948D9" w:rsidRPr="008A08E3" w:rsidRDefault="00D948D9" w:rsidP="00103575">
            <w:pPr>
              <w:ind w:left="420"/>
              <w:jc w:val="left"/>
              <w:rPr>
                <w:rFonts w:ascii="仿宋_GB2312" w:eastAsia="仿宋_GB2312"/>
                <w:color w:val="000000"/>
                <w:szCs w:val="21"/>
              </w:rPr>
            </w:pPr>
          </w:p>
        </w:tc>
      </w:tr>
      <w:tr w:rsidR="00D948D9" w:rsidRPr="008A08E3" w:rsidTr="00103575">
        <w:trPr>
          <w:trHeight w:val="270"/>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tcBorders>
              <w:bottom w:val="single" w:sz="4" w:space="0" w:color="auto"/>
            </w:tcBorders>
            <w:shd w:val="clear" w:color="auto" w:fill="auto"/>
            <w:vAlign w:val="center"/>
          </w:tcPr>
          <w:p w:rsidR="00D948D9" w:rsidRPr="008A08E3" w:rsidRDefault="00D948D9" w:rsidP="00103575">
            <w:pPr>
              <w:rPr>
                <w:rFonts w:ascii="仿宋_GB2312" w:eastAsia="仿宋_GB2312"/>
                <w:color w:val="000000"/>
                <w:szCs w:val="21"/>
              </w:rPr>
            </w:pPr>
          </w:p>
        </w:tc>
        <w:tc>
          <w:tcPr>
            <w:tcW w:w="2397" w:type="dxa"/>
            <w:tcBorders>
              <w:bottom w:val="single" w:sz="4" w:space="0" w:color="auto"/>
            </w:tcBorders>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预警机制</w:t>
            </w:r>
          </w:p>
        </w:tc>
        <w:tc>
          <w:tcPr>
            <w:tcW w:w="6035" w:type="dxa"/>
            <w:tcBorders>
              <w:bottom w:val="single" w:sz="4" w:space="0" w:color="auto"/>
            </w:tcBorders>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是否建立过程信息监测分析机制与质量事故预警制度；</w:t>
            </w:r>
          </w:p>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是否有突发性安全事故、群体性事件应对工作预案；</w:t>
            </w:r>
          </w:p>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是否有近三年质量事故分析报告及其反馈处理效果报告；</w:t>
            </w:r>
          </w:p>
        </w:tc>
        <w:tc>
          <w:tcPr>
            <w:tcW w:w="3268" w:type="dxa"/>
            <w:tcBorders>
              <w:bottom w:val="single" w:sz="4" w:space="0" w:color="auto"/>
            </w:tcBorders>
            <w:shd w:val="clear" w:color="auto" w:fill="auto"/>
            <w:vAlign w:val="center"/>
          </w:tcPr>
          <w:p w:rsidR="00D948D9" w:rsidRPr="008A08E3" w:rsidRDefault="00D948D9" w:rsidP="00103575">
            <w:pPr>
              <w:ind w:left="420"/>
              <w:jc w:val="left"/>
              <w:rPr>
                <w:rFonts w:ascii="仿宋_GB2312" w:eastAsia="仿宋_GB2312"/>
                <w:color w:val="000000"/>
                <w:szCs w:val="21"/>
              </w:rPr>
            </w:pPr>
            <w:r w:rsidRPr="008A08E3">
              <w:rPr>
                <w:rFonts w:ascii="仿宋_GB2312" w:eastAsia="仿宋_GB2312" w:hint="eastAsia"/>
                <w:color w:val="000000"/>
                <w:szCs w:val="21"/>
              </w:rPr>
              <w:t>8.1</w:t>
            </w:r>
          </w:p>
        </w:tc>
      </w:tr>
      <w:tr w:rsidR="00D948D9" w:rsidRPr="008A08E3" w:rsidTr="00103575">
        <w:trPr>
          <w:trHeight w:val="892"/>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val="restart"/>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5.3质量保证效果</w:t>
            </w: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规划体系建设及效果</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各项规划是否完备、体系是否科学，实施是否顺利，目标达成度如何。</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p>
        </w:tc>
      </w:tr>
      <w:tr w:rsidR="00D948D9" w:rsidRPr="008A08E3" w:rsidTr="00103575">
        <w:trPr>
          <w:trHeight w:val="847"/>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shd w:val="clear" w:color="auto" w:fill="auto"/>
            <w:vAlign w:val="center"/>
          </w:tcPr>
          <w:p w:rsidR="00D948D9" w:rsidRPr="008A08E3" w:rsidRDefault="00D948D9" w:rsidP="00103575">
            <w:pPr>
              <w:rPr>
                <w:rFonts w:ascii="仿宋_GB2312" w:eastAsia="仿宋_GB2312"/>
                <w:color w:val="000000"/>
                <w:szCs w:val="21"/>
              </w:rPr>
            </w:pPr>
          </w:p>
        </w:tc>
        <w:tc>
          <w:tcPr>
            <w:tcW w:w="2397" w:type="dxa"/>
            <w:tcBorders>
              <w:bottom w:val="single" w:sz="4" w:space="0" w:color="auto"/>
            </w:tcBorders>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标准体系建设及效果</w:t>
            </w:r>
          </w:p>
        </w:tc>
        <w:tc>
          <w:tcPr>
            <w:tcW w:w="6035" w:type="dxa"/>
            <w:tcBorders>
              <w:bottom w:val="single" w:sz="4" w:space="0" w:color="auto"/>
            </w:tcBorders>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专业、课程、师资、学生发展质量标准是否完备、先进、成体系；能否在诊改过程中不断调整优化；社会认可度如何。</w:t>
            </w:r>
          </w:p>
        </w:tc>
        <w:tc>
          <w:tcPr>
            <w:tcW w:w="3268" w:type="dxa"/>
            <w:tcBorders>
              <w:bottom w:val="single" w:sz="4" w:space="0" w:color="auto"/>
            </w:tcBorders>
            <w:shd w:val="clear" w:color="auto" w:fill="auto"/>
            <w:vAlign w:val="center"/>
          </w:tcPr>
          <w:p w:rsidR="00D948D9" w:rsidRPr="008A08E3" w:rsidRDefault="00D948D9" w:rsidP="00103575">
            <w:pPr>
              <w:ind w:left="420"/>
              <w:jc w:val="left"/>
              <w:rPr>
                <w:rFonts w:ascii="仿宋_GB2312" w:eastAsia="仿宋_GB2312"/>
                <w:color w:val="000000"/>
                <w:szCs w:val="21"/>
              </w:rPr>
            </w:pPr>
          </w:p>
        </w:tc>
      </w:tr>
      <w:tr w:rsidR="00D948D9" w:rsidRPr="008A08E3" w:rsidTr="00103575">
        <w:trPr>
          <w:trHeight w:val="886"/>
          <w:jc w:val="center"/>
        </w:trPr>
        <w:tc>
          <w:tcPr>
            <w:tcW w:w="1096" w:type="dxa"/>
            <w:vMerge/>
            <w:shd w:val="clear" w:color="auto" w:fill="auto"/>
            <w:vAlign w:val="center"/>
          </w:tcPr>
          <w:p w:rsidR="00D948D9" w:rsidRPr="008A08E3" w:rsidRDefault="00D948D9" w:rsidP="00103575">
            <w:pPr>
              <w:rPr>
                <w:rFonts w:ascii="仿宋_GB2312" w:eastAsia="仿宋_GB2312"/>
                <w:color w:val="000000"/>
                <w:szCs w:val="21"/>
              </w:rPr>
            </w:pPr>
          </w:p>
        </w:tc>
        <w:tc>
          <w:tcPr>
            <w:tcW w:w="1418" w:type="dxa"/>
            <w:vMerge/>
            <w:shd w:val="clear" w:color="auto" w:fill="auto"/>
            <w:vAlign w:val="center"/>
          </w:tcPr>
          <w:p w:rsidR="00D948D9" w:rsidRPr="008A08E3" w:rsidRDefault="00D948D9" w:rsidP="00103575">
            <w:pPr>
              <w:rPr>
                <w:rFonts w:ascii="仿宋_GB2312" w:eastAsia="仿宋_GB2312"/>
                <w:color w:val="000000"/>
                <w:szCs w:val="21"/>
              </w:rPr>
            </w:pPr>
          </w:p>
        </w:tc>
        <w:tc>
          <w:tcPr>
            <w:tcW w:w="2397" w:type="dxa"/>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诊改机制建设及效果</w:t>
            </w:r>
          </w:p>
        </w:tc>
        <w:tc>
          <w:tcPr>
            <w:tcW w:w="6035" w:type="dxa"/>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内部质量保证体系是否日趋完备；持续改进的机制是否呈常态化并步入良性循环，人才培养质量是否得到持续提升。</w:t>
            </w:r>
          </w:p>
        </w:tc>
        <w:tc>
          <w:tcPr>
            <w:tcW w:w="3268" w:type="dxa"/>
            <w:shd w:val="clear" w:color="auto" w:fill="auto"/>
            <w:vAlign w:val="center"/>
          </w:tcPr>
          <w:p w:rsidR="00D948D9" w:rsidRPr="008A08E3" w:rsidRDefault="00D948D9" w:rsidP="00103575">
            <w:pPr>
              <w:ind w:left="420"/>
              <w:jc w:val="left"/>
              <w:rPr>
                <w:rFonts w:ascii="仿宋_GB2312" w:eastAsia="仿宋_GB2312"/>
                <w:color w:val="000000"/>
                <w:szCs w:val="21"/>
              </w:rPr>
            </w:pPr>
          </w:p>
        </w:tc>
      </w:tr>
      <w:tr w:rsidR="00D948D9" w:rsidRPr="008A08E3" w:rsidTr="00103575">
        <w:trPr>
          <w:trHeight w:val="787"/>
          <w:jc w:val="center"/>
        </w:trPr>
        <w:tc>
          <w:tcPr>
            <w:tcW w:w="1096" w:type="dxa"/>
            <w:vMerge/>
            <w:tcBorders>
              <w:bottom w:val="single" w:sz="4" w:space="0" w:color="auto"/>
            </w:tcBorders>
            <w:shd w:val="clear" w:color="auto" w:fill="auto"/>
            <w:vAlign w:val="center"/>
          </w:tcPr>
          <w:p w:rsidR="00D948D9" w:rsidRPr="008A08E3" w:rsidRDefault="00D948D9" w:rsidP="00103575">
            <w:pPr>
              <w:rPr>
                <w:rFonts w:ascii="仿宋_GB2312" w:eastAsia="仿宋_GB2312"/>
                <w:color w:val="000000"/>
                <w:szCs w:val="21"/>
              </w:rPr>
            </w:pPr>
          </w:p>
        </w:tc>
        <w:tc>
          <w:tcPr>
            <w:tcW w:w="1418" w:type="dxa"/>
            <w:tcBorders>
              <w:bottom w:val="single" w:sz="4" w:space="0" w:color="auto"/>
            </w:tcBorders>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5.4体系特色</w:t>
            </w:r>
          </w:p>
        </w:tc>
        <w:tc>
          <w:tcPr>
            <w:tcW w:w="2397" w:type="dxa"/>
            <w:tcBorders>
              <w:bottom w:val="single" w:sz="4" w:space="0" w:color="auto"/>
            </w:tcBorders>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学校质量保证体系特色</w:t>
            </w:r>
          </w:p>
        </w:tc>
        <w:tc>
          <w:tcPr>
            <w:tcW w:w="6035" w:type="dxa"/>
            <w:tcBorders>
              <w:bottom w:val="single" w:sz="4" w:space="0" w:color="auto"/>
            </w:tcBorders>
            <w:shd w:val="clear" w:color="auto" w:fill="auto"/>
            <w:vAlign w:val="center"/>
          </w:tcPr>
          <w:p w:rsidR="00D948D9" w:rsidRPr="008A08E3" w:rsidRDefault="00D948D9" w:rsidP="00103575">
            <w:pPr>
              <w:rPr>
                <w:rFonts w:ascii="仿宋_GB2312" w:eastAsia="仿宋_GB2312"/>
                <w:color w:val="000000"/>
                <w:szCs w:val="21"/>
              </w:rPr>
            </w:pPr>
            <w:r w:rsidRPr="008A08E3">
              <w:rPr>
                <w:rFonts w:ascii="仿宋_GB2312" w:eastAsia="仿宋_GB2312" w:hint="eastAsia"/>
                <w:color w:val="000000"/>
                <w:szCs w:val="21"/>
              </w:rPr>
              <w:t>学校自身质量保证体系能否形成特色，应用效果好，并能发挥辐射与影响作用。</w:t>
            </w:r>
          </w:p>
        </w:tc>
        <w:tc>
          <w:tcPr>
            <w:tcW w:w="3268" w:type="dxa"/>
            <w:tcBorders>
              <w:bottom w:val="single" w:sz="4" w:space="0" w:color="auto"/>
            </w:tcBorders>
            <w:shd w:val="clear" w:color="auto" w:fill="auto"/>
            <w:vAlign w:val="center"/>
          </w:tcPr>
          <w:p w:rsidR="00D948D9" w:rsidRPr="008A08E3" w:rsidRDefault="00D948D9" w:rsidP="00103575">
            <w:pPr>
              <w:ind w:left="420"/>
              <w:jc w:val="left"/>
              <w:rPr>
                <w:rFonts w:ascii="仿宋_GB2312" w:eastAsia="仿宋_GB2312"/>
                <w:color w:val="000000"/>
                <w:szCs w:val="21"/>
              </w:rPr>
            </w:pPr>
          </w:p>
        </w:tc>
      </w:tr>
    </w:tbl>
    <w:p w:rsidR="00D948D9" w:rsidRDefault="00D948D9" w:rsidP="00D948D9">
      <w:pPr>
        <w:snapToGrid w:val="0"/>
        <w:spacing w:beforeLines="50" w:before="156"/>
        <w:ind w:firstLineChars="200" w:firstLine="420"/>
        <w:rPr>
          <w:rFonts w:ascii="仿宋_GB2312" w:eastAsia="仿宋_GB2312"/>
          <w:color w:val="000000"/>
        </w:rPr>
      </w:pPr>
      <w:r>
        <w:rPr>
          <w:rFonts w:ascii="仿宋_GB2312" w:eastAsia="仿宋_GB2312" w:hint="eastAsia"/>
          <w:color w:val="000000"/>
        </w:rPr>
        <w:t>注</w:t>
      </w:r>
      <w:r w:rsidRPr="006A7FED">
        <w:rPr>
          <w:rFonts w:ascii="仿宋_GB2312" w:eastAsia="仿宋_GB2312" w:hint="eastAsia"/>
          <w:color w:val="000000"/>
        </w:rPr>
        <w:t>：</w:t>
      </w:r>
      <w:r>
        <w:rPr>
          <w:rFonts w:ascii="仿宋_GB2312" w:eastAsia="仿宋_GB2312" w:hint="eastAsia"/>
          <w:color w:val="000000"/>
        </w:rPr>
        <w:t>1</w:t>
      </w:r>
      <w:r w:rsidRPr="00A041C1">
        <w:rPr>
          <w:rFonts w:ascii="仿宋_GB2312" w:eastAsia="仿宋_GB2312" w:hint="eastAsia"/>
          <w:color w:val="000000"/>
        </w:rPr>
        <w:t>．</w:t>
      </w:r>
      <w:r w:rsidRPr="006A7FED">
        <w:rPr>
          <w:rFonts w:ascii="仿宋_GB2312" w:eastAsia="仿宋_GB2312" w:hint="eastAsia"/>
          <w:color w:val="000000"/>
        </w:rPr>
        <w:t>本表设5个诊断项目，15个诊断要素，37个诊断点。</w:t>
      </w:r>
    </w:p>
    <w:p w:rsidR="00D948D9" w:rsidRPr="006A7FED" w:rsidRDefault="00D948D9" w:rsidP="00D948D9">
      <w:pPr>
        <w:snapToGrid w:val="0"/>
        <w:spacing w:beforeLines="50" w:before="156"/>
        <w:ind w:firstLineChars="400" w:firstLine="840"/>
        <w:rPr>
          <w:rFonts w:ascii="仿宋_GB2312" w:eastAsia="仿宋_GB2312"/>
          <w:color w:val="000000"/>
        </w:rPr>
      </w:pPr>
      <w:r>
        <w:rPr>
          <w:rFonts w:ascii="仿宋_GB2312" w:eastAsia="仿宋_GB2312" w:hint="eastAsia"/>
          <w:color w:val="000000"/>
        </w:rPr>
        <w:t>2</w:t>
      </w:r>
      <w:r w:rsidRPr="00A041C1">
        <w:rPr>
          <w:rFonts w:ascii="仿宋_GB2312" w:eastAsia="仿宋_GB2312" w:hint="eastAsia"/>
          <w:color w:val="000000"/>
        </w:rPr>
        <w:t>．</w:t>
      </w:r>
      <w:r w:rsidRPr="006A7FED">
        <w:rPr>
          <w:rFonts w:ascii="仿宋_GB2312" w:eastAsia="仿宋_GB2312" w:hint="eastAsia"/>
          <w:color w:val="000000"/>
        </w:rPr>
        <w:t>“</w:t>
      </w:r>
      <w:r w:rsidRPr="006A7FED">
        <w:rPr>
          <w:rFonts w:ascii="仿宋_GB2312" w:eastAsia="仿宋_GB2312" w:hint="eastAsia"/>
          <w:color w:val="000000"/>
          <w:szCs w:val="21"/>
        </w:rPr>
        <w:t>数据管理平台相应编号”所列的各指标编号，起引导作用，不是规定或标准。</w:t>
      </w:r>
    </w:p>
    <w:p w:rsidR="002C161C" w:rsidRPr="00D948D9" w:rsidRDefault="002C161C"/>
    <w:sectPr w:rsidR="002C161C" w:rsidRPr="00D948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97B" w:rsidRDefault="00FF397B" w:rsidP="00D948D9">
      <w:r>
        <w:separator/>
      </w:r>
    </w:p>
  </w:endnote>
  <w:endnote w:type="continuationSeparator" w:id="0">
    <w:p w:rsidR="00FF397B" w:rsidRDefault="00FF397B" w:rsidP="00D9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97B" w:rsidRDefault="00FF397B" w:rsidP="00D948D9">
      <w:r>
        <w:separator/>
      </w:r>
    </w:p>
  </w:footnote>
  <w:footnote w:type="continuationSeparator" w:id="0">
    <w:p w:rsidR="00FF397B" w:rsidRDefault="00FF397B" w:rsidP="00D94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AFC"/>
    <w:rsid w:val="002C161C"/>
    <w:rsid w:val="00440AFC"/>
    <w:rsid w:val="00D948D9"/>
    <w:rsid w:val="00FF3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EEB1711D-5A30-4A29-8DF3-9A2EBF31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8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8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48D9"/>
    <w:rPr>
      <w:sz w:val="18"/>
      <w:szCs w:val="18"/>
    </w:rPr>
  </w:style>
  <w:style w:type="paragraph" w:styleId="a4">
    <w:name w:val="footer"/>
    <w:basedOn w:val="a"/>
    <w:link w:val="Char0"/>
    <w:uiPriority w:val="99"/>
    <w:unhideWhenUsed/>
    <w:rsid w:val="00D948D9"/>
    <w:pPr>
      <w:tabs>
        <w:tab w:val="center" w:pos="4153"/>
        <w:tab w:val="right" w:pos="8306"/>
      </w:tabs>
      <w:snapToGrid w:val="0"/>
      <w:jc w:val="left"/>
    </w:pPr>
    <w:rPr>
      <w:sz w:val="18"/>
      <w:szCs w:val="18"/>
    </w:rPr>
  </w:style>
  <w:style w:type="character" w:customStyle="1" w:styleId="Char0">
    <w:name w:val="页脚 Char"/>
    <w:basedOn w:val="a0"/>
    <w:link w:val="a4"/>
    <w:uiPriority w:val="99"/>
    <w:rsid w:val="00D948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雷 刚</dc:creator>
  <cp:keywords/>
  <dc:description/>
  <cp:lastModifiedBy>雷 刚</cp:lastModifiedBy>
  <cp:revision>2</cp:revision>
  <dcterms:created xsi:type="dcterms:W3CDTF">2018-06-13T05:00:00Z</dcterms:created>
  <dcterms:modified xsi:type="dcterms:W3CDTF">2018-06-13T05:00:00Z</dcterms:modified>
</cp:coreProperties>
</file>